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EDAF9E">
      <w:pPr>
        <w:spacing w:line="600" w:lineRule="exact"/>
        <w:jc w:val="center"/>
        <w:rPr>
          <w:rFonts w:hint="eastAsia"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宁夏回族自治区</w:t>
      </w:r>
      <w:r>
        <w:rPr>
          <w:rFonts w:hint="eastAsia" w:ascii="方正小标宋_GBK" w:hAnsi="黑体" w:eastAsia="方正小标宋_GBK"/>
          <w:sz w:val="44"/>
          <w:szCs w:val="44"/>
          <w:lang w:val="en-US" w:eastAsia="zh-CN"/>
        </w:rPr>
        <w:t xml:space="preserve"> </w:t>
      </w:r>
      <w:r>
        <w:rPr>
          <w:rFonts w:hint="eastAsia" w:ascii="方正小标宋_GBK" w:hAnsi="黑体" w:eastAsia="方正小标宋_GBK"/>
          <w:sz w:val="44"/>
          <w:szCs w:val="44"/>
          <w:u w:val="single"/>
        </w:rPr>
        <w:t>粮油作物一次性施肥技术规程第2部分：水稻</w:t>
      </w:r>
      <w:r>
        <w:rPr>
          <w:rFonts w:hint="eastAsia" w:ascii="方正小标宋_GBK" w:hAnsi="黑体" w:eastAsia="方正小标宋_GBK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 w:ascii="方正小标宋_GBK" w:hAnsi="黑体" w:eastAsia="方正小标宋_GBK"/>
          <w:sz w:val="44"/>
          <w:szCs w:val="44"/>
        </w:rPr>
        <w:t>地方标准征求意见汇总处理表</w:t>
      </w:r>
    </w:p>
    <w:p w14:paraId="633CE129">
      <w:pPr>
        <w:spacing w:line="600" w:lineRule="exact"/>
        <w:jc w:val="center"/>
        <w:rPr>
          <w:rFonts w:hint="eastAsia" w:ascii="方正小标宋_GBK" w:hAnsi="黑体" w:eastAsia="方正小标宋_GBK"/>
          <w:sz w:val="44"/>
          <w:szCs w:val="44"/>
        </w:rPr>
      </w:pPr>
    </w:p>
    <w:tbl>
      <w:tblPr>
        <w:tblStyle w:val="3"/>
        <w:tblW w:w="14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3927"/>
        <w:gridCol w:w="4432"/>
        <w:gridCol w:w="2395"/>
        <w:gridCol w:w="2787"/>
      </w:tblGrid>
      <w:tr w14:paraId="4040B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8" w:type="dxa"/>
            <w:noWrap w:val="0"/>
            <w:vAlign w:val="center"/>
          </w:tcPr>
          <w:p w14:paraId="3459122C">
            <w:pPr>
              <w:snapToGrid w:val="0"/>
              <w:jc w:val="center"/>
              <w:rPr>
                <w:rFonts w:hint="eastAsia"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序号</w:t>
            </w:r>
          </w:p>
        </w:tc>
        <w:tc>
          <w:tcPr>
            <w:tcW w:w="3927" w:type="dxa"/>
            <w:noWrap w:val="0"/>
            <w:vAlign w:val="center"/>
          </w:tcPr>
          <w:p w14:paraId="0302B3D1">
            <w:pPr>
              <w:snapToGrid w:val="0"/>
              <w:jc w:val="center"/>
              <w:rPr>
                <w:rFonts w:hint="eastAsia"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意见章条及原标准内容</w:t>
            </w:r>
          </w:p>
        </w:tc>
        <w:tc>
          <w:tcPr>
            <w:tcW w:w="4432" w:type="dxa"/>
            <w:noWrap w:val="0"/>
            <w:vAlign w:val="center"/>
          </w:tcPr>
          <w:p w14:paraId="620618CA">
            <w:pPr>
              <w:snapToGrid w:val="0"/>
              <w:jc w:val="center"/>
              <w:rPr>
                <w:rFonts w:hint="eastAsia"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修改意见及依据</w:t>
            </w:r>
          </w:p>
        </w:tc>
        <w:tc>
          <w:tcPr>
            <w:tcW w:w="2395" w:type="dxa"/>
            <w:noWrap w:val="0"/>
            <w:vAlign w:val="center"/>
          </w:tcPr>
          <w:p w14:paraId="3C89A773">
            <w:pPr>
              <w:snapToGrid w:val="0"/>
              <w:jc w:val="center"/>
              <w:rPr>
                <w:rFonts w:hint="eastAsia" w:ascii="黑体" w:hAnsi="宋体" w:eastAsia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提出单位</w:t>
            </w:r>
            <w:r>
              <w:rPr>
                <w:rFonts w:hint="eastAsia" w:ascii="黑体" w:hAnsi="宋体" w:eastAsia="黑体"/>
                <w:sz w:val="28"/>
                <w:szCs w:val="28"/>
                <w:lang w:eastAsia="zh-CN"/>
              </w:rPr>
              <w:t>及专家</w:t>
            </w:r>
          </w:p>
        </w:tc>
        <w:tc>
          <w:tcPr>
            <w:tcW w:w="2787" w:type="dxa"/>
            <w:noWrap w:val="0"/>
            <w:vAlign w:val="center"/>
          </w:tcPr>
          <w:p w14:paraId="4A32393D">
            <w:pPr>
              <w:snapToGrid w:val="0"/>
              <w:jc w:val="center"/>
              <w:rPr>
                <w:rFonts w:hint="eastAsia"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意见处理</w:t>
            </w:r>
          </w:p>
        </w:tc>
      </w:tr>
      <w:tr w14:paraId="37F54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8" w:type="dxa"/>
            <w:noWrap w:val="0"/>
            <w:vAlign w:val="center"/>
          </w:tcPr>
          <w:p w14:paraId="2567C5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3927" w:type="dxa"/>
            <w:noWrap w:val="0"/>
            <w:vAlign w:val="center"/>
          </w:tcPr>
          <w:p w14:paraId="78E88A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规程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题目</w:t>
            </w:r>
          </w:p>
        </w:tc>
        <w:tc>
          <w:tcPr>
            <w:tcW w:w="4432" w:type="dxa"/>
            <w:noWrap w:val="0"/>
            <w:vAlign w:val="center"/>
          </w:tcPr>
          <w:p w14:paraId="62554DD3">
            <w:pPr>
              <w:pStyle w:val="1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ind w:leftChars="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  <w:t>Part 3改为Part 2，和前面用破折号连接，英文翻译字体为四号黑体，取消文档保护功能可修改字体；</w:t>
            </w:r>
          </w:p>
        </w:tc>
        <w:tc>
          <w:tcPr>
            <w:tcW w:w="2395" w:type="dxa"/>
            <w:noWrap w:val="0"/>
            <w:vAlign w:val="center"/>
          </w:tcPr>
          <w:p w14:paraId="19A551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宁夏食品协会</w:t>
            </w:r>
          </w:p>
          <w:p w14:paraId="0BF229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季瑞</w:t>
            </w:r>
          </w:p>
        </w:tc>
        <w:tc>
          <w:tcPr>
            <w:tcW w:w="2787" w:type="dxa"/>
            <w:noWrap w:val="0"/>
            <w:vAlign w:val="center"/>
          </w:tcPr>
          <w:p w14:paraId="6CCAE9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全部采纳。</w:t>
            </w:r>
          </w:p>
        </w:tc>
      </w:tr>
      <w:tr w14:paraId="42BF1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8" w:type="dxa"/>
            <w:noWrap w:val="0"/>
            <w:vAlign w:val="center"/>
          </w:tcPr>
          <w:p w14:paraId="1EDBA3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</w:t>
            </w:r>
          </w:p>
        </w:tc>
        <w:tc>
          <w:tcPr>
            <w:tcW w:w="3927" w:type="dxa"/>
            <w:noWrap w:val="0"/>
            <w:vAlign w:val="center"/>
          </w:tcPr>
          <w:p w14:paraId="3ED760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规程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前言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sz w:val="21"/>
                <w:szCs w:val="21"/>
              </w:rPr>
              <w:t>本文件由宁夏回族自治区农业农村厅归口并组织实施</w:t>
            </w:r>
          </w:p>
        </w:tc>
        <w:tc>
          <w:tcPr>
            <w:tcW w:w="4432" w:type="dxa"/>
            <w:noWrap w:val="0"/>
            <w:vAlign w:val="center"/>
          </w:tcPr>
          <w:p w14:paraId="5171D8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  <w:t>前言“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sz w:val="21"/>
                <w:szCs w:val="21"/>
              </w:rPr>
              <w:t>本文件由宁夏回族自治区农业农村厅归口并组织实施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sz w:val="21"/>
                <w:szCs w:val="21"/>
                <w:lang w:eastAsia="zh-CN"/>
              </w:rPr>
              <w:t>”加上“提出”</w:t>
            </w:r>
          </w:p>
        </w:tc>
        <w:tc>
          <w:tcPr>
            <w:tcW w:w="2395" w:type="dxa"/>
            <w:shd w:val="clear" w:color="auto" w:fill="auto"/>
            <w:noWrap w:val="0"/>
            <w:vAlign w:val="center"/>
          </w:tcPr>
          <w:p w14:paraId="3B02EE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宁夏食品协会</w:t>
            </w:r>
          </w:p>
          <w:p w14:paraId="7BA24F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季瑞</w:t>
            </w:r>
          </w:p>
        </w:tc>
        <w:tc>
          <w:tcPr>
            <w:tcW w:w="2787" w:type="dxa"/>
            <w:shd w:val="clear" w:color="auto" w:fill="auto"/>
            <w:noWrap w:val="0"/>
            <w:vAlign w:val="center"/>
          </w:tcPr>
          <w:p w14:paraId="47D87A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全部采纳。</w:t>
            </w:r>
          </w:p>
        </w:tc>
      </w:tr>
      <w:tr w14:paraId="691F6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8" w:type="dxa"/>
            <w:noWrap w:val="0"/>
            <w:vAlign w:val="center"/>
          </w:tcPr>
          <w:p w14:paraId="4D5D64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</w:t>
            </w:r>
          </w:p>
        </w:tc>
        <w:tc>
          <w:tcPr>
            <w:tcW w:w="3927" w:type="dxa"/>
            <w:noWrap w:val="0"/>
            <w:vAlign w:val="center"/>
          </w:tcPr>
          <w:p w14:paraId="4C16E5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sz w:val="21"/>
                <w:szCs w:val="21"/>
                <w:lang w:val="en-US" w:eastAsia="zh-CN"/>
              </w:rPr>
              <w:t xml:space="preserve">引言 </w:t>
            </w:r>
          </w:p>
        </w:tc>
        <w:tc>
          <w:tcPr>
            <w:tcW w:w="4432" w:type="dxa"/>
            <w:noWrap w:val="0"/>
            <w:vAlign w:val="center"/>
          </w:tcPr>
          <w:p w14:paraId="3F1B5C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sz w:val="21"/>
                <w:szCs w:val="21"/>
                <w:lang w:val="en-US" w:eastAsia="zh-CN"/>
              </w:rPr>
              <w:t>部分整体内容调整为单倍行距</w:t>
            </w:r>
          </w:p>
        </w:tc>
        <w:tc>
          <w:tcPr>
            <w:tcW w:w="2395" w:type="dxa"/>
            <w:shd w:val="clear" w:color="auto" w:fill="auto"/>
            <w:noWrap w:val="0"/>
            <w:vAlign w:val="center"/>
          </w:tcPr>
          <w:p w14:paraId="1DA2B4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宁夏食品协会</w:t>
            </w:r>
          </w:p>
          <w:p w14:paraId="3EFB73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季瑞</w:t>
            </w:r>
          </w:p>
        </w:tc>
        <w:tc>
          <w:tcPr>
            <w:tcW w:w="2787" w:type="dxa"/>
            <w:shd w:val="clear" w:color="auto" w:fill="auto"/>
            <w:noWrap w:val="0"/>
            <w:vAlign w:val="center"/>
          </w:tcPr>
          <w:p w14:paraId="03B849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全部采纳。</w:t>
            </w:r>
          </w:p>
        </w:tc>
      </w:tr>
      <w:tr w14:paraId="5E602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8" w:type="dxa"/>
            <w:noWrap w:val="0"/>
            <w:vAlign w:val="center"/>
          </w:tcPr>
          <w:p w14:paraId="358DA5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  <w:tc>
          <w:tcPr>
            <w:tcW w:w="3927" w:type="dxa"/>
            <w:noWrap w:val="0"/>
            <w:vAlign w:val="center"/>
          </w:tcPr>
          <w:p w14:paraId="796782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规程格式</w:t>
            </w:r>
          </w:p>
        </w:tc>
        <w:tc>
          <w:tcPr>
            <w:tcW w:w="4432" w:type="dxa"/>
            <w:noWrap w:val="0"/>
            <w:vAlign w:val="center"/>
          </w:tcPr>
          <w:p w14:paraId="461AA32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标准名称和编号之间统一空一个汉字；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HG/T 4215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正文未引用删除，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NY/T 2267正文中引用，列入规范性引用文件；</w:t>
            </w:r>
          </w:p>
        </w:tc>
        <w:tc>
          <w:tcPr>
            <w:tcW w:w="2395" w:type="dxa"/>
            <w:shd w:val="clear" w:color="auto" w:fill="auto"/>
            <w:noWrap w:val="0"/>
            <w:vAlign w:val="center"/>
          </w:tcPr>
          <w:p w14:paraId="3D22AF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宁夏食品协会</w:t>
            </w:r>
          </w:p>
          <w:p w14:paraId="21E89B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季瑞</w:t>
            </w:r>
          </w:p>
        </w:tc>
        <w:tc>
          <w:tcPr>
            <w:tcW w:w="2787" w:type="dxa"/>
            <w:shd w:val="clear" w:color="auto" w:fill="auto"/>
            <w:noWrap w:val="0"/>
            <w:vAlign w:val="center"/>
          </w:tcPr>
          <w:p w14:paraId="04C8E8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全部采纳。</w:t>
            </w:r>
          </w:p>
        </w:tc>
      </w:tr>
      <w:tr w14:paraId="1DA62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8" w:type="dxa"/>
            <w:noWrap w:val="0"/>
            <w:vAlign w:val="center"/>
          </w:tcPr>
          <w:p w14:paraId="4588C5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5</w:t>
            </w:r>
          </w:p>
        </w:tc>
        <w:tc>
          <w:tcPr>
            <w:tcW w:w="3927" w:type="dxa"/>
            <w:noWrap w:val="0"/>
            <w:vAlign w:val="center"/>
          </w:tcPr>
          <w:p w14:paraId="3F9C75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第3章 术语和定义</w:t>
            </w:r>
          </w:p>
        </w:tc>
        <w:tc>
          <w:tcPr>
            <w:tcW w:w="4432" w:type="dxa"/>
            <w:noWrap w:val="0"/>
            <w:vAlign w:val="center"/>
          </w:tcPr>
          <w:p w14:paraId="40AF9D1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条目编号上下无空行，术语后加英文翻译，字体为五号黑体；</w:t>
            </w:r>
          </w:p>
        </w:tc>
        <w:tc>
          <w:tcPr>
            <w:tcW w:w="2395" w:type="dxa"/>
            <w:noWrap w:val="0"/>
            <w:vAlign w:val="center"/>
          </w:tcPr>
          <w:p w14:paraId="003F40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宁夏食品协会</w:t>
            </w:r>
          </w:p>
          <w:p w14:paraId="7A606D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季瑞</w:t>
            </w:r>
          </w:p>
        </w:tc>
        <w:tc>
          <w:tcPr>
            <w:tcW w:w="2787" w:type="dxa"/>
            <w:noWrap w:val="0"/>
            <w:vAlign w:val="center"/>
          </w:tcPr>
          <w:p w14:paraId="60020C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全部采纳。</w:t>
            </w:r>
          </w:p>
        </w:tc>
      </w:tr>
      <w:tr w14:paraId="62F24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8" w:type="dxa"/>
            <w:noWrap w:val="0"/>
            <w:vAlign w:val="center"/>
          </w:tcPr>
          <w:p w14:paraId="6552C9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6</w:t>
            </w:r>
          </w:p>
        </w:tc>
        <w:tc>
          <w:tcPr>
            <w:tcW w:w="3927" w:type="dxa"/>
            <w:noWrap w:val="0"/>
            <w:vAlign w:val="center"/>
          </w:tcPr>
          <w:p w14:paraId="7CF3F5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5.2.1.1和5.2.2.1</w:t>
            </w:r>
          </w:p>
        </w:tc>
        <w:tc>
          <w:tcPr>
            <w:tcW w:w="4432" w:type="dxa"/>
            <w:noWrap w:val="0"/>
            <w:vAlign w:val="center"/>
          </w:tcPr>
          <w:p w14:paraId="619D868E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表1、表2和表3字体全部调整为小五号宋体；</w:t>
            </w:r>
          </w:p>
        </w:tc>
        <w:tc>
          <w:tcPr>
            <w:tcW w:w="2395" w:type="dxa"/>
            <w:noWrap w:val="0"/>
            <w:vAlign w:val="center"/>
          </w:tcPr>
          <w:p w14:paraId="2A6F04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宁夏食品协会</w:t>
            </w:r>
          </w:p>
          <w:p w14:paraId="6F31D9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季瑞</w:t>
            </w:r>
          </w:p>
        </w:tc>
        <w:tc>
          <w:tcPr>
            <w:tcW w:w="2787" w:type="dxa"/>
            <w:noWrap w:val="0"/>
            <w:vAlign w:val="center"/>
          </w:tcPr>
          <w:p w14:paraId="52DCF6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全部采纳。</w:t>
            </w:r>
          </w:p>
        </w:tc>
      </w:tr>
      <w:tr w14:paraId="08AAD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8" w:type="dxa"/>
            <w:noWrap w:val="0"/>
            <w:vAlign w:val="center"/>
          </w:tcPr>
          <w:p w14:paraId="77928C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7</w:t>
            </w:r>
          </w:p>
        </w:tc>
        <w:tc>
          <w:tcPr>
            <w:tcW w:w="3927" w:type="dxa"/>
            <w:noWrap w:val="0"/>
            <w:vAlign w:val="center"/>
          </w:tcPr>
          <w:p w14:paraId="0F677F74">
            <w:pPr>
              <w:pStyle w:val="18"/>
              <w:keepNext w:val="0"/>
              <w:keepLines w:val="0"/>
              <w:pageBreakBefore w:val="0"/>
              <w:numPr>
                <w:ilvl w:val="3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156" w:after="156" w:line="400" w:lineRule="exact"/>
              <w:ind w:lef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第 5.2.1插秧水稻和5.2.1.1施肥量，5.2.2播后上水水稻和5.2.2.1施肥量，5.2.3幼苗旱长水稻和5.2.3.1施肥量</w:t>
            </w:r>
          </w:p>
        </w:tc>
        <w:tc>
          <w:tcPr>
            <w:tcW w:w="4432" w:type="dxa"/>
            <w:noWrap w:val="0"/>
            <w:vAlign w:val="center"/>
          </w:tcPr>
          <w:p w14:paraId="691900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5.2.1和5.2.1.1，5.2.2和5.2.2.1，5.2.3和5.2.3.1之间的悬置段进行调整；</w:t>
            </w:r>
          </w:p>
        </w:tc>
        <w:tc>
          <w:tcPr>
            <w:tcW w:w="2395" w:type="dxa"/>
            <w:noWrap w:val="0"/>
            <w:vAlign w:val="center"/>
          </w:tcPr>
          <w:p w14:paraId="5E9282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宁夏食品协会</w:t>
            </w:r>
          </w:p>
          <w:p w14:paraId="09E208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季瑞</w:t>
            </w:r>
          </w:p>
        </w:tc>
        <w:tc>
          <w:tcPr>
            <w:tcW w:w="2787" w:type="dxa"/>
            <w:noWrap w:val="0"/>
            <w:vAlign w:val="center"/>
          </w:tcPr>
          <w:p w14:paraId="2772F0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全部采纳。</w:t>
            </w:r>
          </w:p>
        </w:tc>
      </w:tr>
      <w:tr w14:paraId="4CCD7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8" w:type="dxa"/>
            <w:noWrap w:val="0"/>
            <w:vAlign w:val="center"/>
          </w:tcPr>
          <w:p w14:paraId="74AF00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8</w:t>
            </w:r>
          </w:p>
        </w:tc>
        <w:tc>
          <w:tcPr>
            <w:tcW w:w="3927" w:type="dxa"/>
            <w:noWrap w:val="0"/>
            <w:vAlign w:val="center"/>
          </w:tcPr>
          <w:p w14:paraId="6EAD7E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规范结构</w:t>
            </w:r>
          </w:p>
        </w:tc>
        <w:tc>
          <w:tcPr>
            <w:tcW w:w="4432" w:type="dxa"/>
            <w:noWrap w:val="0"/>
            <w:vAlign w:val="center"/>
          </w:tcPr>
          <w:p w14:paraId="7BD18B1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结构问题与大豆玉米类似。</w:t>
            </w:r>
          </w:p>
        </w:tc>
        <w:tc>
          <w:tcPr>
            <w:tcW w:w="2395" w:type="dxa"/>
            <w:noWrap w:val="0"/>
            <w:vAlign w:val="center"/>
          </w:tcPr>
          <w:p w14:paraId="4E25CD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宁夏农业勘察设计院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</w:t>
            </w:r>
          </w:p>
          <w:p w14:paraId="4FD970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马金虎</w:t>
            </w:r>
          </w:p>
        </w:tc>
        <w:tc>
          <w:tcPr>
            <w:tcW w:w="2787" w:type="dxa"/>
            <w:noWrap w:val="0"/>
            <w:vAlign w:val="center"/>
          </w:tcPr>
          <w:p w14:paraId="67C750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全部采纳。</w:t>
            </w:r>
          </w:p>
        </w:tc>
      </w:tr>
      <w:tr w14:paraId="4291D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8" w:type="dxa"/>
            <w:noWrap w:val="0"/>
            <w:vAlign w:val="center"/>
          </w:tcPr>
          <w:p w14:paraId="679586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3927" w:type="dxa"/>
            <w:noWrap w:val="0"/>
            <w:vAlign w:val="center"/>
          </w:tcPr>
          <w:p w14:paraId="0955C082">
            <w:pPr>
              <w:pStyle w:val="17"/>
              <w:keepNext w:val="0"/>
              <w:keepLines w:val="0"/>
              <w:pageBreakBefore w:val="0"/>
              <w:numPr>
                <w:ilvl w:val="4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156" w:after="156" w:line="400" w:lineRule="exact"/>
              <w:ind w:leftChars="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 xml:space="preserve">第5.2.1.2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施肥方法</w:t>
            </w:r>
          </w:p>
        </w:tc>
        <w:tc>
          <w:tcPr>
            <w:tcW w:w="4432" w:type="dxa"/>
            <w:noWrap w:val="0"/>
            <w:vAlign w:val="center"/>
          </w:tcPr>
          <w:p w14:paraId="479606D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插秧返青较慢、直播苗较弱时追尿素5-6公斤，编制说明中必须有验证论述作为依据。</w:t>
            </w:r>
          </w:p>
        </w:tc>
        <w:tc>
          <w:tcPr>
            <w:tcW w:w="2395" w:type="dxa"/>
            <w:noWrap w:val="0"/>
            <w:vAlign w:val="center"/>
          </w:tcPr>
          <w:p w14:paraId="669197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宁夏农业勘察设计院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</w:t>
            </w:r>
          </w:p>
          <w:p w14:paraId="291C32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马金虎</w:t>
            </w:r>
          </w:p>
        </w:tc>
        <w:tc>
          <w:tcPr>
            <w:tcW w:w="2787" w:type="dxa"/>
            <w:noWrap w:val="0"/>
            <w:vAlign w:val="center"/>
          </w:tcPr>
          <w:p w14:paraId="6CA680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全部采纳。</w:t>
            </w:r>
          </w:p>
        </w:tc>
      </w:tr>
      <w:tr w14:paraId="3A6FA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8" w:type="dxa"/>
            <w:noWrap w:val="0"/>
            <w:vAlign w:val="center"/>
          </w:tcPr>
          <w:p w14:paraId="48AF18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3927" w:type="dxa"/>
            <w:noWrap w:val="0"/>
            <w:vAlign w:val="center"/>
          </w:tcPr>
          <w:p w14:paraId="044F2F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第5.2.2.1 施肥量和5.2.3.1施肥量 产量到650和700kg</w:t>
            </w:r>
          </w:p>
        </w:tc>
        <w:tc>
          <w:tcPr>
            <w:tcW w:w="4432" w:type="dxa"/>
            <w:noWrap w:val="0"/>
            <w:vAlign w:val="center"/>
          </w:tcPr>
          <w:p w14:paraId="5ACCC9F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建议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播后上水亩产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增加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700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kg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幼苗旱长亩产800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kg</w:t>
            </w:r>
          </w:p>
        </w:tc>
        <w:tc>
          <w:tcPr>
            <w:tcW w:w="2395" w:type="dxa"/>
            <w:noWrap w:val="0"/>
            <w:vAlign w:val="center"/>
          </w:tcPr>
          <w:p w14:paraId="1D17A6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宁夏农业勘察设计院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</w:t>
            </w:r>
          </w:p>
          <w:p w14:paraId="0BAF72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马金虎</w:t>
            </w:r>
          </w:p>
        </w:tc>
        <w:tc>
          <w:tcPr>
            <w:tcW w:w="2787" w:type="dxa"/>
            <w:noWrap w:val="0"/>
            <w:vAlign w:val="center"/>
          </w:tcPr>
          <w:p w14:paraId="3AD1DF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部分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采纳：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幼苗旱长部分已经删除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。</w:t>
            </w:r>
          </w:p>
        </w:tc>
      </w:tr>
      <w:tr w14:paraId="55236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8" w:type="dxa"/>
            <w:noWrap w:val="0"/>
            <w:vAlign w:val="center"/>
          </w:tcPr>
          <w:p w14:paraId="5A6D9D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3927" w:type="dxa"/>
            <w:noWrap w:val="0"/>
            <w:vAlign w:val="center"/>
          </w:tcPr>
          <w:p w14:paraId="71744D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第5.2.2.1 施肥量和5.2.3.1施肥量</w:t>
            </w:r>
          </w:p>
        </w:tc>
        <w:tc>
          <w:tcPr>
            <w:tcW w:w="4432" w:type="dxa"/>
            <w:noWrap w:val="0"/>
            <w:vAlign w:val="center"/>
          </w:tcPr>
          <w:p w14:paraId="19FB45DB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施肥量少了，产量相同情况下，施肥量幼苗旱长多于播后上水。</w:t>
            </w:r>
          </w:p>
        </w:tc>
        <w:tc>
          <w:tcPr>
            <w:tcW w:w="2395" w:type="dxa"/>
            <w:noWrap w:val="0"/>
            <w:vAlign w:val="center"/>
          </w:tcPr>
          <w:p w14:paraId="5DCF0C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宁夏农业勘察设计院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</w:t>
            </w:r>
          </w:p>
          <w:p w14:paraId="769361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马金虎</w:t>
            </w:r>
          </w:p>
        </w:tc>
        <w:tc>
          <w:tcPr>
            <w:tcW w:w="2787" w:type="dxa"/>
            <w:noWrap w:val="0"/>
            <w:vAlign w:val="center"/>
          </w:tcPr>
          <w:p w14:paraId="683E4F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部分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采纳：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幼苗旱长部分已经删除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。</w:t>
            </w:r>
          </w:p>
        </w:tc>
      </w:tr>
      <w:tr w14:paraId="134EF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8" w:type="dxa"/>
            <w:noWrap w:val="0"/>
            <w:vAlign w:val="center"/>
          </w:tcPr>
          <w:p w14:paraId="02AEA3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3927" w:type="dxa"/>
            <w:noWrap w:val="0"/>
            <w:vAlign w:val="center"/>
          </w:tcPr>
          <w:p w14:paraId="6105F5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pacing w:val="-7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7"/>
                <w:kern w:val="2"/>
                <w:sz w:val="21"/>
                <w:szCs w:val="21"/>
                <w:lang w:val="en-US" w:eastAsia="zh-CN" w:bidi="ar-SA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pacing w:val="-7"/>
                <w:kern w:val="2"/>
                <w:sz w:val="21"/>
                <w:szCs w:val="21"/>
                <w:lang w:val="en-US" w:eastAsia="en-US" w:bidi="ar-SA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pacing w:val="-7"/>
                <w:kern w:val="2"/>
                <w:sz w:val="21"/>
                <w:szCs w:val="21"/>
                <w:lang w:val="en-US" w:eastAsia="en-US" w:bidi="ar-SA"/>
              </w:rPr>
              <w:instrText xml:space="preserve"> HYPERLINK "5.2.1.2" </w:instrText>
            </w:r>
            <w:r>
              <w:rPr>
                <w:rFonts w:hint="eastAsia" w:asciiTheme="minorEastAsia" w:hAnsiTheme="minorEastAsia" w:eastAsiaTheme="minorEastAsia" w:cstheme="minorEastAsia"/>
                <w:spacing w:val="-7"/>
                <w:kern w:val="2"/>
                <w:sz w:val="21"/>
                <w:szCs w:val="21"/>
                <w:lang w:val="en-US" w:eastAsia="en-US" w:bidi="ar-SA"/>
              </w:rPr>
              <w:fldChar w:fldCharType="separate"/>
            </w:r>
            <w:r>
              <w:rPr>
                <w:rFonts w:hint="eastAsia" w:asciiTheme="minorEastAsia" w:hAnsiTheme="minorEastAsia" w:eastAsiaTheme="minorEastAsia" w:cstheme="minorEastAsia"/>
                <w:spacing w:val="-7"/>
                <w:kern w:val="2"/>
                <w:sz w:val="21"/>
                <w:szCs w:val="21"/>
                <w:lang w:val="en-US" w:eastAsia="en-US" w:bidi="ar-SA"/>
              </w:rPr>
              <w:t>5.2.</w:t>
            </w:r>
            <w:r>
              <w:rPr>
                <w:rFonts w:hint="eastAsia" w:asciiTheme="minorEastAsia" w:hAnsiTheme="minorEastAsia" w:eastAsiaTheme="minorEastAsia" w:cstheme="minorEastAsia"/>
                <w:spacing w:val="-7"/>
                <w:kern w:val="2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pacing w:val="-7"/>
                <w:kern w:val="2"/>
                <w:sz w:val="21"/>
                <w:szCs w:val="21"/>
                <w:lang w:val="en-US" w:eastAsia="en-US" w:bidi="ar-SA"/>
              </w:rPr>
              <w:t>.2</w:t>
            </w:r>
            <w:r>
              <w:rPr>
                <w:rFonts w:hint="eastAsia" w:asciiTheme="minorEastAsia" w:hAnsiTheme="minorEastAsia" w:eastAsiaTheme="minorEastAsia" w:cstheme="minorEastAsia"/>
                <w:spacing w:val="-7"/>
                <w:kern w:val="2"/>
                <w:sz w:val="21"/>
                <w:szCs w:val="21"/>
                <w:lang w:val="en-US" w:eastAsia="en-US" w:bidi="ar-SA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pacing w:val="-7"/>
                <w:kern w:val="2"/>
                <w:sz w:val="21"/>
                <w:szCs w:val="21"/>
                <w:lang w:val="en-US" w:eastAsia="en-US" w:bidi="ar-SA"/>
              </w:rPr>
              <w:t>施肥方法</w:t>
            </w:r>
            <w:r>
              <w:rPr>
                <w:rFonts w:hint="eastAsia" w:asciiTheme="minorEastAsia" w:hAnsiTheme="minorEastAsia" w:eastAsiaTheme="minorEastAsia" w:cstheme="minorEastAsia"/>
                <w:spacing w:val="-7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7"/>
                <w:kern w:val="2"/>
                <w:sz w:val="21"/>
                <w:szCs w:val="21"/>
                <w:lang w:val="en-US" w:eastAsia="en-US" w:bidi="ar-SA"/>
              </w:rPr>
              <w:t>作基肥时采用撒肥机将水稻专用缓释型配方肥均匀撒在地表</w:t>
            </w:r>
          </w:p>
        </w:tc>
        <w:tc>
          <w:tcPr>
            <w:tcW w:w="4432" w:type="dxa"/>
            <w:noWrap w:val="0"/>
            <w:vAlign w:val="center"/>
          </w:tcPr>
          <w:p w14:paraId="047222D1"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16" w:line="400" w:lineRule="exact"/>
              <w:ind w:left="103" w:right="117" w:firstLine="27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6"/>
                <w:sz w:val="21"/>
                <w:szCs w:val="21"/>
              </w:rPr>
              <w:t>建议“作基肥时采用撒肥机将水稻专用缓释型配方肥均</w:t>
            </w:r>
            <w:r>
              <w:rPr>
                <w:rFonts w:hint="eastAsia" w:asciiTheme="minorEastAsia" w:hAnsiTheme="minorEastAsia" w:eastAsiaTheme="minorEastAsia" w:cstheme="minorEastAsia"/>
                <w:spacing w:val="-7"/>
                <w:sz w:val="21"/>
                <w:szCs w:val="21"/>
              </w:rPr>
              <w:t>匀撒在</w:t>
            </w:r>
            <w:r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</w:rPr>
              <w:t>地表，”修改为“作基肥时采用撒肥机将配方肥均匀</w:t>
            </w:r>
            <w:r>
              <w:rPr>
                <w:rFonts w:hint="eastAsia" w:asciiTheme="minorEastAsia" w:hAnsiTheme="minorEastAsia" w:eastAsiaTheme="minorEastAsia" w:cstheme="minorEastAsia"/>
                <w:spacing w:val="-16"/>
                <w:sz w:val="21"/>
                <w:szCs w:val="21"/>
              </w:rPr>
              <w:t>撒在地表，”。</w:t>
            </w:r>
          </w:p>
        </w:tc>
        <w:tc>
          <w:tcPr>
            <w:tcW w:w="2395" w:type="dxa"/>
            <w:noWrap w:val="0"/>
            <w:vAlign w:val="center"/>
          </w:tcPr>
          <w:p w14:paraId="26D807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  <w:lang w:eastAsia="zh-CN"/>
              </w:rPr>
              <w:t>宁夏农林科学院</w:t>
            </w:r>
          </w:p>
          <w:p w14:paraId="15C45B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宋玉霞</w:t>
            </w:r>
          </w:p>
        </w:tc>
        <w:tc>
          <w:tcPr>
            <w:tcW w:w="2787" w:type="dxa"/>
            <w:noWrap w:val="0"/>
            <w:vAlign w:val="center"/>
          </w:tcPr>
          <w:p w14:paraId="51CDF2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全部采纳。</w:t>
            </w:r>
          </w:p>
        </w:tc>
      </w:tr>
      <w:tr w14:paraId="78DC9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8" w:type="dxa"/>
            <w:noWrap w:val="0"/>
            <w:vAlign w:val="center"/>
          </w:tcPr>
          <w:p w14:paraId="7C9360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3927" w:type="dxa"/>
            <w:noWrap w:val="0"/>
            <w:vAlign w:val="center"/>
          </w:tcPr>
          <w:p w14:paraId="74349E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pacing w:val="-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7"/>
                <w:kern w:val="2"/>
                <w:sz w:val="21"/>
                <w:szCs w:val="21"/>
                <w:highlight w:val="none"/>
                <w:lang w:val="en-US" w:eastAsia="zh-CN" w:bidi="ar-SA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pacing w:val="-7"/>
                <w:kern w:val="2"/>
                <w:sz w:val="21"/>
                <w:szCs w:val="21"/>
                <w:highlight w:val="none"/>
                <w:lang w:val="en-US" w:eastAsia="en-US" w:bidi="ar-SA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spacing w:val="-7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章 </w:t>
            </w:r>
            <w:r>
              <w:rPr>
                <w:rFonts w:hint="eastAsia" w:asciiTheme="minorEastAsia" w:hAnsiTheme="minorEastAsia" w:eastAsiaTheme="minorEastAsia" w:cstheme="minorEastAsia"/>
                <w:spacing w:val="-7"/>
                <w:kern w:val="2"/>
                <w:sz w:val="21"/>
                <w:szCs w:val="21"/>
                <w:highlight w:val="none"/>
                <w:lang w:val="en-US" w:eastAsia="en-US" w:bidi="ar-SA"/>
              </w:rPr>
              <w:t>病虫草害防治</w:t>
            </w:r>
          </w:p>
        </w:tc>
        <w:tc>
          <w:tcPr>
            <w:tcW w:w="4432" w:type="dxa"/>
            <w:noWrap w:val="0"/>
            <w:vAlign w:val="center"/>
          </w:tcPr>
          <w:p w14:paraId="0C55CDE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  <w:highlight w:val="none"/>
              </w:rPr>
              <w:t>建议最好提出具体防治方法、药剂等，列表附录。</w:t>
            </w:r>
          </w:p>
        </w:tc>
        <w:tc>
          <w:tcPr>
            <w:tcW w:w="2395" w:type="dxa"/>
            <w:noWrap w:val="0"/>
            <w:vAlign w:val="center"/>
          </w:tcPr>
          <w:p w14:paraId="28625E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  <w:lang w:eastAsia="zh-CN"/>
              </w:rPr>
              <w:t>宁夏农林科学院</w:t>
            </w:r>
          </w:p>
          <w:p w14:paraId="61568F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宋玉霞</w:t>
            </w:r>
          </w:p>
        </w:tc>
        <w:tc>
          <w:tcPr>
            <w:tcW w:w="2787" w:type="dxa"/>
            <w:noWrap w:val="0"/>
            <w:vAlign w:val="center"/>
          </w:tcPr>
          <w:p w14:paraId="308B6F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全部采纳。</w:t>
            </w:r>
          </w:p>
        </w:tc>
      </w:tr>
      <w:tr w14:paraId="52D3E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8" w:type="dxa"/>
            <w:noWrap w:val="0"/>
            <w:vAlign w:val="center"/>
          </w:tcPr>
          <w:p w14:paraId="4544C1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3927" w:type="dxa"/>
            <w:noWrap w:val="0"/>
            <w:vAlign w:val="center"/>
          </w:tcPr>
          <w:p w14:paraId="60FCB6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  <w:t>第1章 范围</w:t>
            </w:r>
          </w:p>
        </w:tc>
        <w:tc>
          <w:tcPr>
            <w:tcW w:w="4432" w:type="dxa"/>
            <w:noWrap w:val="0"/>
            <w:vAlign w:val="center"/>
          </w:tcPr>
          <w:p w14:paraId="7742D06F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16" w:leftChars="5" w:firstLine="193" w:firstLineChars="92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  <w:t>范围中表述完整：本文件规定了水稻一次性施肥技术的整地、播种、施肥量与施肥方法、灌溉、病虫草害防治、收获及生产档案记载等技术要求。</w:t>
            </w:r>
          </w:p>
        </w:tc>
        <w:tc>
          <w:tcPr>
            <w:tcW w:w="2395" w:type="dxa"/>
            <w:noWrap w:val="0"/>
            <w:vAlign w:val="center"/>
          </w:tcPr>
          <w:p w14:paraId="46375D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  <w:lang w:eastAsia="zh-CN"/>
              </w:rPr>
              <w:t>宁夏农林科学院</w:t>
            </w:r>
          </w:p>
          <w:p w14:paraId="661063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张艳</w:t>
            </w:r>
          </w:p>
        </w:tc>
        <w:tc>
          <w:tcPr>
            <w:tcW w:w="2787" w:type="dxa"/>
            <w:noWrap w:val="0"/>
            <w:vAlign w:val="center"/>
          </w:tcPr>
          <w:p w14:paraId="353F6E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全部采纳。</w:t>
            </w:r>
          </w:p>
        </w:tc>
      </w:tr>
      <w:tr w14:paraId="60F90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8" w:type="dxa"/>
            <w:noWrap w:val="0"/>
            <w:vAlign w:val="center"/>
          </w:tcPr>
          <w:p w14:paraId="78760B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3927" w:type="dxa"/>
            <w:noWrap w:val="0"/>
            <w:vAlign w:val="center"/>
          </w:tcPr>
          <w:p w14:paraId="147435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第3章 术语和定义</w:t>
            </w:r>
          </w:p>
        </w:tc>
        <w:tc>
          <w:tcPr>
            <w:tcW w:w="4432" w:type="dxa"/>
            <w:noWrap w:val="0"/>
            <w:vAlign w:val="center"/>
          </w:tcPr>
          <w:p w14:paraId="45C88377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  <w:t>3.1术语定义在文本中未涉及，删除。</w:t>
            </w:r>
          </w:p>
          <w:p w14:paraId="414F6CF0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  <w:t>3.2术语 删除水稻，为：一次性施肥技术。定义中“水稻”修改为“作物”</w:t>
            </w:r>
          </w:p>
        </w:tc>
        <w:tc>
          <w:tcPr>
            <w:tcW w:w="2395" w:type="dxa"/>
            <w:shd w:val="clear" w:color="auto" w:fill="auto"/>
            <w:noWrap w:val="0"/>
            <w:vAlign w:val="center"/>
          </w:tcPr>
          <w:p w14:paraId="673039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  <w:lang w:eastAsia="zh-CN"/>
              </w:rPr>
              <w:t>宁夏农林科学院</w:t>
            </w:r>
          </w:p>
          <w:p w14:paraId="5687296D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16" w:leftChars="5" w:firstLine="193" w:firstLineChars="92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  <w:t>张艳</w:t>
            </w:r>
          </w:p>
        </w:tc>
        <w:tc>
          <w:tcPr>
            <w:tcW w:w="2787" w:type="dxa"/>
            <w:shd w:val="clear" w:color="auto" w:fill="auto"/>
            <w:noWrap w:val="0"/>
            <w:vAlign w:val="center"/>
          </w:tcPr>
          <w:p w14:paraId="005AB034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16" w:leftChars="5" w:firstLine="193" w:firstLineChars="92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  <w:t>全部采纳。</w:t>
            </w:r>
          </w:p>
        </w:tc>
      </w:tr>
      <w:tr w14:paraId="5C040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8" w:type="dxa"/>
            <w:noWrap w:val="0"/>
            <w:vAlign w:val="center"/>
          </w:tcPr>
          <w:p w14:paraId="2ABEAA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3927" w:type="dxa"/>
            <w:noWrap w:val="0"/>
            <w:vAlign w:val="center"/>
          </w:tcPr>
          <w:p w14:paraId="556051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  <w:t>第4章 整地、播种</w:t>
            </w:r>
          </w:p>
        </w:tc>
        <w:tc>
          <w:tcPr>
            <w:tcW w:w="4432" w:type="dxa"/>
            <w:noWrap w:val="0"/>
            <w:vAlign w:val="center"/>
          </w:tcPr>
          <w:p w14:paraId="6F9A4EAB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  <w:t>未对“播种”进行表述或按相关标准执行。建议分两章分别表述。</w:t>
            </w:r>
          </w:p>
        </w:tc>
        <w:tc>
          <w:tcPr>
            <w:tcW w:w="2395" w:type="dxa"/>
            <w:shd w:val="clear" w:color="auto" w:fill="auto"/>
            <w:noWrap w:val="0"/>
            <w:vAlign w:val="center"/>
          </w:tcPr>
          <w:p w14:paraId="0BCDAD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  <w:lang w:eastAsia="zh-CN"/>
              </w:rPr>
              <w:t>宁夏农林科学院</w:t>
            </w:r>
          </w:p>
          <w:p w14:paraId="70BD5333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16" w:leftChars="5" w:firstLine="193" w:firstLineChars="92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  <w:t>张艳</w:t>
            </w:r>
          </w:p>
        </w:tc>
        <w:tc>
          <w:tcPr>
            <w:tcW w:w="2787" w:type="dxa"/>
            <w:shd w:val="clear" w:color="auto" w:fill="auto"/>
            <w:noWrap w:val="0"/>
            <w:vAlign w:val="center"/>
          </w:tcPr>
          <w:p w14:paraId="74A9D81B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16" w:leftChars="5" w:firstLine="193" w:firstLineChars="92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  <w:t>全部采纳。</w:t>
            </w:r>
          </w:p>
        </w:tc>
      </w:tr>
      <w:tr w14:paraId="3F921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8" w:type="dxa"/>
            <w:noWrap w:val="0"/>
            <w:vAlign w:val="center"/>
          </w:tcPr>
          <w:p w14:paraId="631659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3927" w:type="dxa"/>
            <w:noWrap w:val="0"/>
            <w:vAlign w:val="center"/>
          </w:tcPr>
          <w:p w14:paraId="26D1A3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第5章 5.2水稻专用缓释型配方肥</w:t>
            </w:r>
          </w:p>
          <w:p w14:paraId="08C183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4432" w:type="dxa"/>
            <w:noWrap w:val="0"/>
            <w:vAlign w:val="center"/>
          </w:tcPr>
          <w:p w14:paraId="28BD3298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  <w:t>5.2中引用的标准NY/T 2267未列在</w:t>
            </w:r>
            <w:bookmarkStart w:id="0" w:name="_Toc26986772"/>
            <w:bookmarkStart w:id="1" w:name="_Toc26718931"/>
            <w:bookmarkStart w:id="2" w:name="_Toc26986531"/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  <w:t>规范性引用文件</w:t>
            </w:r>
            <w:bookmarkEnd w:id="0"/>
            <w:bookmarkEnd w:id="1"/>
            <w:bookmarkEnd w:id="2"/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  <w:t>中。HG/T 4215 控释肥料标准文本中未引用。</w:t>
            </w:r>
          </w:p>
        </w:tc>
        <w:tc>
          <w:tcPr>
            <w:tcW w:w="2395" w:type="dxa"/>
            <w:shd w:val="clear" w:color="auto" w:fill="auto"/>
            <w:noWrap w:val="0"/>
            <w:vAlign w:val="center"/>
          </w:tcPr>
          <w:p w14:paraId="37044F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  <w:lang w:eastAsia="zh-CN"/>
              </w:rPr>
              <w:t>宁夏农林科学院</w:t>
            </w:r>
          </w:p>
          <w:p w14:paraId="74A3896B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16" w:leftChars="5" w:firstLine="193" w:firstLineChars="92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  <w:t>张艳</w:t>
            </w:r>
          </w:p>
        </w:tc>
        <w:tc>
          <w:tcPr>
            <w:tcW w:w="2787" w:type="dxa"/>
            <w:shd w:val="clear" w:color="auto" w:fill="auto"/>
            <w:noWrap w:val="0"/>
            <w:vAlign w:val="center"/>
          </w:tcPr>
          <w:p w14:paraId="4FD66ECD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16" w:leftChars="5" w:firstLine="193" w:firstLineChars="92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  <w:t>全部采纳。</w:t>
            </w:r>
          </w:p>
        </w:tc>
      </w:tr>
      <w:tr w14:paraId="0FD63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8" w:type="dxa"/>
            <w:noWrap w:val="0"/>
            <w:vAlign w:val="center"/>
          </w:tcPr>
          <w:p w14:paraId="7D5C42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3927" w:type="dxa"/>
            <w:noWrap w:val="0"/>
            <w:vAlign w:val="center"/>
          </w:tcPr>
          <w:p w14:paraId="675C5C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第5.2.1.1施肥量和5.2.2.1施肥量、5.2.3.1施肥量</w:t>
            </w:r>
          </w:p>
        </w:tc>
        <w:tc>
          <w:tcPr>
            <w:tcW w:w="4432" w:type="dxa"/>
            <w:noWrap w:val="0"/>
            <w:vAlign w:val="center"/>
          </w:tcPr>
          <w:p w14:paraId="045340D8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  <w:t>表1表2表3中所有数值小数点后均保留一位。特别是表中水稻专用缓释型配方肥一列数值小数点后均保留一位。</w:t>
            </w:r>
          </w:p>
        </w:tc>
        <w:tc>
          <w:tcPr>
            <w:tcW w:w="2395" w:type="dxa"/>
            <w:shd w:val="clear" w:color="auto" w:fill="auto"/>
            <w:noWrap w:val="0"/>
            <w:vAlign w:val="center"/>
          </w:tcPr>
          <w:p w14:paraId="7540C4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  <w:lang w:eastAsia="zh-CN"/>
              </w:rPr>
              <w:t>宁夏农林科学院</w:t>
            </w:r>
          </w:p>
          <w:p w14:paraId="5A468B70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16" w:leftChars="5" w:firstLine="193" w:firstLineChars="92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  <w:t>张艳</w:t>
            </w:r>
          </w:p>
        </w:tc>
        <w:tc>
          <w:tcPr>
            <w:tcW w:w="2787" w:type="dxa"/>
            <w:shd w:val="clear" w:color="auto" w:fill="auto"/>
            <w:noWrap w:val="0"/>
            <w:vAlign w:val="center"/>
          </w:tcPr>
          <w:p w14:paraId="43F455CD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16" w:leftChars="5" w:firstLine="193" w:firstLineChars="92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  <w:t>全部采纳。</w:t>
            </w:r>
          </w:p>
        </w:tc>
      </w:tr>
      <w:tr w14:paraId="61D9A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8" w:type="dxa"/>
            <w:noWrap w:val="0"/>
            <w:vAlign w:val="center"/>
          </w:tcPr>
          <w:p w14:paraId="545E4E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3927" w:type="dxa"/>
            <w:noWrap w:val="0"/>
            <w:vAlign w:val="center"/>
          </w:tcPr>
          <w:p w14:paraId="1A6BEC24">
            <w:pPr>
              <w:pStyle w:val="17"/>
              <w:keepNext w:val="0"/>
              <w:keepLines w:val="0"/>
              <w:pageBreakBefore w:val="0"/>
              <w:numPr>
                <w:ilvl w:val="4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156" w:after="156" w:line="400" w:lineRule="exact"/>
              <w:ind w:leftChars="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5.2.1.2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施肥方法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5.2.2.2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施肥方法</w:t>
            </w:r>
          </w:p>
        </w:tc>
        <w:tc>
          <w:tcPr>
            <w:tcW w:w="4432" w:type="dxa"/>
            <w:noWrap w:val="0"/>
            <w:vAlign w:val="center"/>
          </w:tcPr>
          <w:p w14:paraId="74F15003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  <w:t>5.2.1.2是否要求施肥的位置与苗的距离。并和5.2.2.2中关于种子与肥料安全间隔表述一致。</w:t>
            </w:r>
          </w:p>
        </w:tc>
        <w:tc>
          <w:tcPr>
            <w:tcW w:w="2395" w:type="dxa"/>
            <w:shd w:val="clear" w:color="auto" w:fill="auto"/>
            <w:noWrap w:val="0"/>
            <w:vAlign w:val="center"/>
          </w:tcPr>
          <w:p w14:paraId="4F01CE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  <w:lang w:eastAsia="zh-CN"/>
              </w:rPr>
              <w:t>宁夏农林科学院</w:t>
            </w:r>
          </w:p>
          <w:p w14:paraId="63249606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16" w:leftChars="5" w:firstLine="193" w:firstLineChars="92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  <w:t>张艳</w:t>
            </w:r>
          </w:p>
        </w:tc>
        <w:tc>
          <w:tcPr>
            <w:tcW w:w="2787" w:type="dxa"/>
            <w:shd w:val="clear" w:color="auto" w:fill="auto"/>
            <w:noWrap w:val="0"/>
            <w:vAlign w:val="center"/>
          </w:tcPr>
          <w:p w14:paraId="619378D6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16" w:leftChars="5" w:firstLine="193" w:firstLineChars="92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  <w:t>全部采纳。</w:t>
            </w:r>
          </w:p>
        </w:tc>
      </w:tr>
      <w:tr w14:paraId="01683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8" w:type="dxa"/>
            <w:noWrap w:val="0"/>
            <w:vAlign w:val="center"/>
          </w:tcPr>
          <w:p w14:paraId="537AB5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3927" w:type="dxa"/>
            <w:noWrap w:val="0"/>
            <w:vAlign w:val="center"/>
          </w:tcPr>
          <w:p w14:paraId="231D41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病虫草害防治</w:t>
            </w:r>
          </w:p>
        </w:tc>
        <w:tc>
          <w:tcPr>
            <w:tcW w:w="4432" w:type="dxa"/>
            <w:noWrap w:val="0"/>
            <w:vAlign w:val="center"/>
          </w:tcPr>
          <w:p w14:paraId="5CCAD3D1">
            <w:pPr>
              <w:pStyle w:val="16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Chars="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  <w:t>修改为：病虫草害防治方法参照GB/T832（所有部分）、NY/T 1276、DB64/T 527和DB64/T 735的要求。</w:t>
            </w:r>
          </w:p>
        </w:tc>
        <w:tc>
          <w:tcPr>
            <w:tcW w:w="2395" w:type="dxa"/>
            <w:shd w:val="clear" w:color="auto" w:fill="auto"/>
            <w:noWrap w:val="0"/>
            <w:vAlign w:val="center"/>
          </w:tcPr>
          <w:p w14:paraId="3F5254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  <w:lang w:eastAsia="zh-CN"/>
              </w:rPr>
              <w:t>宁夏农林科学院</w:t>
            </w:r>
          </w:p>
          <w:p w14:paraId="0CCFAD13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16" w:leftChars="5" w:firstLine="193" w:firstLineChars="92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  <w:t>张艳</w:t>
            </w:r>
          </w:p>
        </w:tc>
        <w:tc>
          <w:tcPr>
            <w:tcW w:w="2787" w:type="dxa"/>
            <w:shd w:val="clear" w:color="auto" w:fill="auto"/>
            <w:noWrap w:val="0"/>
            <w:vAlign w:val="center"/>
          </w:tcPr>
          <w:p w14:paraId="1AF6B77F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16" w:leftChars="5" w:firstLine="193" w:firstLineChars="92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  <w:t>全部采纳。</w:t>
            </w:r>
          </w:p>
        </w:tc>
      </w:tr>
      <w:tr w14:paraId="27123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8" w:type="dxa"/>
            <w:noWrap w:val="0"/>
            <w:vAlign w:val="center"/>
          </w:tcPr>
          <w:p w14:paraId="1A3105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3927" w:type="dxa"/>
            <w:noWrap w:val="0"/>
            <w:vAlign w:val="center"/>
          </w:tcPr>
          <w:p w14:paraId="02A158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第8章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适时收获</w:t>
            </w:r>
          </w:p>
        </w:tc>
        <w:tc>
          <w:tcPr>
            <w:tcW w:w="4432" w:type="dxa"/>
            <w:noWrap w:val="0"/>
            <w:vAlign w:val="center"/>
          </w:tcPr>
          <w:p w14:paraId="01FC92C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  <w:t>标题</w:t>
            </w:r>
            <w:bookmarkStart w:id="3" w:name="_GoBack"/>
            <w:bookmarkEnd w:id="3"/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  <w:t>删除“适时”修改为：收获。</w:t>
            </w:r>
          </w:p>
        </w:tc>
        <w:tc>
          <w:tcPr>
            <w:tcW w:w="2395" w:type="dxa"/>
            <w:shd w:val="clear" w:color="auto" w:fill="auto"/>
            <w:noWrap w:val="0"/>
            <w:vAlign w:val="center"/>
          </w:tcPr>
          <w:p w14:paraId="753B5B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  <w:lang w:eastAsia="zh-CN"/>
              </w:rPr>
              <w:t>宁夏农林科学院</w:t>
            </w:r>
          </w:p>
          <w:p w14:paraId="3A541C59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16" w:leftChars="5" w:firstLine="193" w:firstLineChars="92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  <w:t>张艳</w:t>
            </w:r>
          </w:p>
        </w:tc>
        <w:tc>
          <w:tcPr>
            <w:tcW w:w="2787" w:type="dxa"/>
            <w:shd w:val="clear" w:color="auto" w:fill="auto"/>
            <w:noWrap w:val="0"/>
            <w:vAlign w:val="center"/>
          </w:tcPr>
          <w:p w14:paraId="4AD165E7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16" w:leftChars="5" w:firstLine="193" w:firstLineChars="92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  <w:t>全部采纳。</w:t>
            </w:r>
          </w:p>
        </w:tc>
      </w:tr>
    </w:tbl>
    <w:p w14:paraId="35D4F13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 w14:paraId="728C37F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6838" w:h="11906" w:orient="landscape"/>
      <w:pgMar w:top="1797" w:right="1440" w:bottom="1797" w:left="1440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Noto Sans CJK SC Regular">
    <w:altName w:val="宋体"/>
    <w:panose1 w:val="020B0500000000000000"/>
    <w:charset w:val="86"/>
    <w:family w:val="auto"/>
    <w:pitch w:val="default"/>
    <w:sig w:usb0="00000000" w:usb1="00000000" w:usb2="00000016" w:usb3="00000000" w:csb0="602E0107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23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22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pStyle w:val="18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17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DE1F04"/>
    <w:rsid w:val="0FF52EEC"/>
    <w:rsid w:val="1A981ADA"/>
    <w:rsid w:val="1FB41758"/>
    <w:rsid w:val="69BF2D47"/>
    <w:rsid w:val="6B1A52E7"/>
    <w:rsid w:val="6CF7D19C"/>
    <w:rsid w:val="77E32AF4"/>
    <w:rsid w:val="7EDE1F04"/>
    <w:rsid w:val="9B8DE47A"/>
    <w:rsid w:val="C39F237D"/>
    <w:rsid w:val="CBE7CC27"/>
    <w:rsid w:val="CDB7C3C0"/>
    <w:rsid w:val="E1D67B48"/>
    <w:rsid w:val="ECFB82F3"/>
    <w:rsid w:val="F5779B3A"/>
    <w:rsid w:val="F9F8ECBF"/>
    <w:rsid w:val="FBDE2D4C"/>
    <w:rsid w:val="FBFC7803"/>
    <w:rsid w:val="FF7ED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表头"/>
    <w:basedOn w:val="1"/>
    <w:link w:val="6"/>
    <w:qFormat/>
    <w:uiPriority w:val="0"/>
    <w:pPr>
      <w:spacing w:line="300" w:lineRule="exact"/>
      <w:jc w:val="center"/>
    </w:pPr>
    <w:rPr>
      <w:rFonts w:hint="eastAsia" w:ascii="宋体" w:hAnsi="宋体" w:eastAsia="宋体" w:cs="宋体"/>
      <w:b/>
      <w:bCs/>
      <w:color w:val="auto"/>
      <w:sz w:val="28"/>
      <w:szCs w:val="28"/>
    </w:rPr>
  </w:style>
  <w:style w:type="character" w:customStyle="1" w:styleId="6">
    <w:name w:val="表头 Char"/>
    <w:link w:val="5"/>
    <w:qFormat/>
    <w:uiPriority w:val="0"/>
    <w:rPr>
      <w:rFonts w:hint="eastAsia" w:ascii="宋体" w:hAnsi="宋体" w:eastAsia="宋体" w:cs="宋体"/>
      <w:b/>
      <w:bCs/>
      <w:color w:val="auto"/>
      <w:sz w:val="28"/>
      <w:szCs w:val="28"/>
    </w:rPr>
  </w:style>
  <w:style w:type="paragraph" w:customStyle="1" w:styleId="7">
    <w:name w:val="表注"/>
    <w:basedOn w:val="1"/>
    <w:next w:val="1"/>
    <w:link w:val="8"/>
    <w:qFormat/>
    <w:uiPriority w:val="0"/>
    <w:pPr>
      <w:spacing w:line="240" w:lineRule="exact"/>
      <w:ind w:firstLine="420" w:firstLineChars="200"/>
    </w:pPr>
    <w:rPr>
      <w:rFonts w:hint="eastAsia" w:ascii="宋体" w:hAnsi="宋体" w:eastAsia="宋体" w:cs="宋体"/>
      <w:color w:val="auto"/>
      <w:kern w:val="0"/>
      <w:szCs w:val="21"/>
    </w:rPr>
  </w:style>
  <w:style w:type="character" w:customStyle="1" w:styleId="8">
    <w:name w:val="表注 Char"/>
    <w:link w:val="7"/>
    <w:qFormat/>
    <w:uiPriority w:val="0"/>
    <w:rPr>
      <w:rFonts w:hint="eastAsia" w:ascii="宋体" w:hAnsi="宋体" w:eastAsia="宋体" w:cs="宋体"/>
      <w:color w:val="auto"/>
      <w:kern w:val="0"/>
      <w:szCs w:val="21"/>
    </w:rPr>
  </w:style>
  <w:style w:type="paragraph" w:customStyle="1" w:styleId="9">
    <w:name w:val="试验标题三"/>
    <w:basedOn w:val="1"/>
    <w:next w:val="1"/>
    <w:link w:val="10"/>
    <w:qFormat/>
    <w:uiPriority w:val="0"/>
    <w:pPr>
      <w:spacing w:line="560" w:lineRule="exact"/>
      <w:ind w:leftChars="0" w:firstLine="420" w:firstLineChars="200"/>
    </w:pPr>
    <w:rPr>
      <w:rFonts w:hint="eastAsia" w:ascii="仿宋_GB2312" w:hAnsi="仿宋_GB2312" w:eastAsia="仿宋_GB2312" w:cs="宋体"/>
      <w:b/>
      <w:bCs/>
      <w:color w:val="auto"/>
      <w:sz w:val="32"/>
      <w:szCs w:val="32"/>
      <w:lang w:val="zh-CN"/>
    </w:rPr>
  </w:style>
  <w:style w:type="character" w:customStyle="1" w:styleId="10">
    <w:name w:val="标题三 Char"/>
    <w:link w:val="9"/>
    <w:qFormat/>
    <w:uiPriority w:val="0"/>
    <w:rPr>
      <w:rFonts w:hint="eastAsia" w:ascii="仿宋_GB2312" w:hAnsi="仿宋_GB2312" w:eastAsia="仿宋_GB2312" w:cs="宋体"/>
      <w:b/>
      <w:bCs/>
      <w:color w:val="auto"/>
      <w:sz w:val="32"/>
      <w:szCs w:val="32"/>
      <w:lang w:val="zh-CN"/>
    </w:rPr>
  </w:style>
  <w:style w:type="paragraph" w:customStyle="1" w:styleId="11">
    <w:name w:val="表格正文"/>
    <w:basedOn w:val="1"/>
    <w:qFormat/>
    <w:uiPriority w:val="0"/>
    <w:pPr>
      <w:suppressAutoHyphens/>
      <w:bidi w:val="0"/>
      <w:spacing w:line="240" w:lineRule="exact"/>
      <w:jc w:val="center"/>
    </w:pPr>
    <w:rPr>
      <w:rFonts w:ascii="Times New Roman" w:hAnsi="Times New Roman" w:eastAsia="仿宋" w:cstheme="minorBidi"/>
      <w:sz w:val="22"/>
      <w:szCs w:val="28"/>
    </w:rPr>
  </w:style>
  <w:style w:type="paragraph" w:customStyle="1" w:styleId="12">
    <w:name w:val="试验完成单位"/>
    <w:basedOn w:val="1"/>
    <w:next w:val="1"/>
    <w:link w:val="13"/>
    <w:qFormat/>
    <w:uiPriority w:val="0"/>
    <w:pPr>
      <w:spacing w:line="560" w:lineRule="exact"/>
      <w:ind w:firstLine="0" w:firstLineChars="0"/>
      <w:jc w:val="center"/>
      <w:outlineLvl w:val="0"/>
    </w:pPr>
    <w:rPr>
      <w:rFonts w:hint="eastAsia" w:ascii="方正仿宋_GBK" w:hAnsi="方正仿宋_GBK" w:eastAsia="仿宋_GB2312" w:cs="方正仿宋_GBK"/>
      <w:b/>
      <w:bCs/>
      <w:color w:val="auto"/>
      <w:w w:val="98"/>
      <w:sz w:val="28"/>
      <w:szCs w:val="28"/>
    </w:rPr>
  </w:style>
  <w:style w:type="character" w:customStyle="1" w:styleId="13">
    <w:name w:val="试验完成单位 Char"/>
    <w:link w:val="12"/>
    <w:qFormat/>
    <w:uiPriority w:val="0"/>
    <w:rPr>
      <w:rFonts w:hint="eastAsia" w:ascii="方正仿宋_GBK" w:hAnsi="方正仿宋_GBK" w:eastAsia="仿宋_GB2312" w:cs="方正仿宋_GBK"/>
      <w:b/>
      <w:bCs/>
      <w:color w:val="auto"/>
      <w:w w:val="98"/>
      <w:sz w:val="28"/>
      <w:szCs w:val="28"/>
    </w:rPr>
  </w:style>
  <w:style w:type="paragraph" w:customStyle="1" w:styleId="14">
    <w:name w:val="试验正文"/>
    <w:basedOn w:val="1"/>
    <w:link w:val="15"/>
    <w:qFormat/>
    <w:uiPriority w:val="0"/>
    <w:pPr>
      <w:widowControl/>
      <w:spacing w:line="600" w:lineRule="exact"/>
      <w:ind w:firstLine="640" w:firstLineChars="200"/>
    </w:pPr>
    <w:rPr>
      <w:rFonts w:hint="eastAsia" w:ascii="仿宋_GB2312" w:hAnsi="仿宋_GB2312" w:eastAsia="仿宋_GB2312" w:cs="仿宋_GB2312"/>
      <w:color w:val="auto"/>
      <w:sz w:val="32"/>
      <w:szCs w:val="32"/>
    </w:rPr>
  </w:style>
  <w:style w:type="character" w:customStyle="1" w:styleId="15">
    <w:name w:val="试验正文 Char"/>
    <w:link w:val="14"/>
    <w:qFormat/>
    <w:uiPriority w:val="0"/>
    <w:rPr>
      <w:rFonts w:hint="eastAsia" w:ascii="仿宋_GB2312" w:hAnsi="仿宋_GB2312" w:eastAsia="仿宋_GB2312" w:cs="仿宋_GB2312"/>
      <w:color w:val="auto"/>
      <w:sz w:val="32"/>
      <w:szCs w:val="32"/>
    </w:rPr>
  </w:style>
  <w:style w:type="paragraph" w:customStyle="1" w:styleId="16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">
    <w:name w:val="标准文件_三级条标题"/>
    <w:basedOn w:val="18"/>
    <w:next w:val="19"/>
    <w:qFormat/>
    <w:uiPriority w:val="0"/>
    <w:pPr>
      <w:widowControl/>
      <w:numPr>
        <w:ilvl w:val="4"/>
      </w:numPr>
      <w:outlineLvl w:val="3"/>
    </w:pPr>
  </w:style>
  <w:style w:type="paragraph" w:customStyle="1" w:styleId="18">
    <w:name w:val="标准文件_二级条标题"/>
    <w:next w:val="19"/>
    <w:qFormat/>
    <w:uiPriority w:val="0"/>
    <w:pPr>
      <w:widowControl w:val="0"/>
      <w:numPr>
        <w:ilvl w:val="3"/>
        <w:numId w:val="1"/>
      </w:numPr>
      <w:spacing w:beforeLines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9">
    <w:name w:val="标准文件_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0">
    <w:name w:val="Table Text"/>
    <w:basedOn w:val="1"/>
    <w:semiHidden/>
    <w:qFormat/>
    <w:uiPriority w:val="0"/>
    <w:rPr>
      <w:rFonts w:ascii="Noto Sans CJK SC Regular" w:hAnsi="Noto Sans CJK SC Regular" w:eastAsia="Noto Sans CJK SC Regular" w:cs="Noto Sans CJK SC Regular"/>
      <w:sz w:val="24"/>
      <w:szCs w:val="24"/>
      <w:lang w:val="en-US" w:eastAsia="en-US" w:bidi="ar-SA"/>
    </w:rPr>
  </w:style>
  <w:style w:type="table" w:customStyle="1" w:styleId="2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2">
    <w:name w:val="标准文件_一级条标题"/>
    <w:basedOn w:val="23"/>
    <w:next w:val="19"/>
    <w:qFormat/>
    <w:uiPriority w:val="0"/>
    <w:pPr>
      <w:numPr>
        <w:ilvl w:val="2"/>
      </w:numPr>
      <w:spacing w:beforeLines="50" w:afterLines="50"/>
      <w:outlineLvl w:val="1"/>
    </w:pPr>
  </w:style>
  <w:style w:type="paragraph" w:customStyle="1" w:styleId="23">
    <w:name w:val="标准文件_章标题"/>
    <w:next w:val="19"/>
    <w:qFormat/>
    <w:uiPriority w:val="0"/>
    <w:pPr>
      <w:numPr>
        <w:ilvl w:val="1"/>
        <w:numId w:val="1"/>
      </w:numPr>
      <w:spacing w:beforeLines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1359</Words>
  <Characters>1601</Characters>
  <Lines>0</Lines>
  <Paragraphs>0</Paragraphs>
  <TotalTime>0</TotalTime>
  <ScaleCrop>false</ScaleCrop>
  <LinksUpToDate>false</LinksUpToDate>
  <CharactersWithSpaces>1637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2026-01-14T00:48:00Z</dcterms:created>
  <dc:creator>走走——婷婷(๑• . •๑)享受生活</dc:creator>
  <cp:lastModifiedBy>走走——婷婷(๑• . •๑)享受生活</cp:lastModifiedBy>
  <dcterms:modified xsi:type="dcterms:W3CDTF">2026-01-16T03:39:16Z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FE9709E6C31F4F0EA18F9043C7A66F82_13</vt:lpwstr>
  </property>
  <property fmtid="{D5CDD505-2E9C-101B-9397-08002B2CF9AE}" pid="4" name="KSOTemplateDocerSaveRecord">
    <vt:lpwstr>eyJoZGlkIjoiMzhiMzZlYWI0OGIwNjU4ZDFkNGFjN2IyYmRhM2ZiYWIiLCJ1c2VySWQiOiI1ODY5ODAxMTQifQ==</vt:lpwstr>
  </property>
</Properties>
</file>